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highlight w:val="none"/>
          <w:u w:val="none"/>
          <w:lang w:val="en-US" w:eastAsia="zh-CN"/>
        </w:rPr>
        <w:t>年级</w:t>
      </w:r>
      <w:r>
        <w:rPr>
          <w:rFonts w:hint="eastAsia" w:ascii="黑体" w:hAnsi="黑体" w:eastAsia="黑体" w:cs="黑体"/>
          <w:b/>
          <w:sz w:val="32"/>
          <w:highlight w:val="none"/>
          <w:u w:val="none"/>
        </w:rPr>
        <w:t>作业</w:t>
      </w:r>
      <w:r>
        <w:rPr>
          <w:rFonts w:hint="eastAsia" w:ascii="黑体" w:hAnsi="黑体" w:eastAsia="黑体" w:cs="黑体"/>
          <w:b/>
          <w:sz w:val="32"/>
          <w:highlight w:val="none"/>
        </w:rPr>
        <w:t>校内公示表</w:t>
      </w: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背诵《草原》第1节、完成语文校本作业1-5题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完成校本作业第6题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课后服务时间+回家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校本1.3能被2、5整除的数（1）1-6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校本1.3能被2、5整除的数（1）7-8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品读“哥德巴赫猜想”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课后服务时间+回家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48个音标的笔记抄写4遍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 xml:space="preserve">free talk 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跳绳不间断5分钟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汪锋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32"/>
          <w:highlight w:val="none"/>
        </w:rPr>
        <w:t>年级作业校内公示表</w:t>
      </w:r>
    </w:p>
    <w:tbl>
      <w:tblPr>
        <w:tblStyle w:val="3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1.《春》练习册1、2题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2.课外文言文训练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整本书阅读《西游记》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highlight w:val="none"/>
              </w:rPr>
              <w:t>订正练习册9.2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</w:rPr>
              <w:t>完成练习卷9.2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 背诵课文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 整理笔记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3.家默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4.预习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32"/>
          <w:highlight w:val="none"/>
        </w:rPr>
        <w:t>八</w:t>
      </w:r>
      <w:r>
        <w:rPr>
          <w:rFonts w:hint="eastAsia" w:ascii="黑体" w:hAnsi="黑体" w:eastAsia="黑体" w:cs="黑体"/>
          <w:b/>
          <w:sz w:val="32"/>
          <w:highlight w:val="none"/>
          <w:u w:val="none"/>
          <w:lang w:val="en-US" w:eastAsia="zh-CN"/>
        </w:rPr>
        <w:t>年级</w:t>
      </w:r>
      <w:r>
        <w:rPr>
          <w:rFonts w:hint="eastAsia" w:ascii="黑体" w:hAnsi="黑体" w:eastAsia="黑体" w:cs="黑体"/>
          <w:b/>
          <w:sz w:val="32"/>
          <w:highlight w:val="none"/>
          <w:u w:val="none"/>
        </w:rPr>
        <w:t>作业</w:t>
      </w:r>
      <w:r>
        <w:rPr>
          <w:rFonts w:hint="eastAsia" w:ascii="黑体" w:hAnsi="黑体" w:eastAsia="黑体" w:cs="黑体"/>
          <w:b/>
          <w:sz w:val="32"/>
          <w:highlight w:val="none"/>
        </w:rPr>
        <w:t>校内公示表</w:t>
      </w: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.5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练习册《唐诗五首》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校本第3、4页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朗读课文；校本第二课时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生命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细胞结构功能总结表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摆的周期小练习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 xml:space="preserve">冯之翔 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32"/>
          <w:highlight w:val="none"/>
        </w:rPr>
        <w:t>年级作业校内公示表</w:t>
      </w:r>
    </w:p>
    <w:tbl>
      <w:tblPr>
        <w:tblStyle w:val="3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《水调歌头》小练习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练习册24.2（2）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Workbook  p5-7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校本密度2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MGM0MzQ5NWY0MzRkMDExM2VlOGFiNGI1MmQ2NjYifQ=="/>
  </w:docVars>
  <w:rsids>
    <w:rsidRoot w:val="44497091"/>
    <w:rsid w:val="01595998"/>
    <w:rsid w:val="03096CE8"/>
    <w:rsid w:val="04CB5F2D"/>
    <w:rsid w:val="08DB6B60"/>
    <w:rsid w:val="3BCA2E40"/>
    <w:rsid w:val="3DD663E5"/>
    <w:rsid w:val="43BA641A"/>
    <w:rsid w:val="44497091"/>
    <w:rsid w:val="56E37966"/>
    <w:rsid w:val="574E3341"/>
    <w:rsid w:val="5E194067"/>
    <w:rsid w:val="6C6FAAA6"/>
    <w:rsid w:val="6D1F2EBB"/>
    <w:rsid w:val="755470DD"/>
    <w:rsid w:val="7EDBA8E7"/>
    <w:rsid w:val="7F4E569F"/>
    <w:rsid w:val="7FD7726B"/>
    <w:rsid w:val="7FFF1B7A"/>
    <w:rsid w:val="9FFF2158"/>
    <w:rsid w:val="AFFF0DD4"/>
    <w:rsid w:val="B7CE7D06"/>
    <w:rsid w:val="DACFA5C5"/>
    <w:rsid w:val="DF4E96E8"/>
    <w:rsid w:val="DFE743FC"/>
    <w:rsid w:val="E88DB9EA"/>
    <w:rsid w:val="EEEEEDA2"/>
    <w:rsid w:val="FFF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105</Characters>
  <Lines>0</Lines>
  <Paragraphs>0</Paragraphs>
  <TotalTime>2</TotalTime>
  <ScaleCrop>false</ScaleCrop>
  <LinksUpToDate>false</LinksUpToDate>
  <CharactersWithSpaces>105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2022-05-10T02:15:00Z</dcterms:created>
  <dc:creator>心意</dc:creator>
  <cp:lastModifiedBy>心意</cp:lastModifiedBy>
  <dcterms:modified xsi:type="dcterms:W3CDTF">2022-09-06T13:27:31Z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85E53B4AB0B34E7EB13A57887AB849DC</vt:lpwstr>
  </property>
</Properties>
</file>